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2199995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6D84A75B" w:rsidR="00E13C27" w:rsidRPr="00CF1AA2" w:rsidRDefault="008F6665" w:rsidP="00A0498B">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חוה אתי עטייה</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פ/1998/25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ביטוח בריאות ממלכתי (תיקון – ביטול הגבלת זכותו של תושב גלמוד ששהה מחוץ לישראל), התשפ"ג–2023</w:t>
      </w:r>
      <w:bookmarkEnd w:id="7"/>
    </w:p>
    <w:p w14:paraId="7F6961AE" w14:textId="77777777" w:rsidR="00E13C27" w:rsidRDefault="00E13C27" w:rsidP="0021633A">
      <w:pPr>
        <w:pStyle w:val="HeadDivreiHesber"/>
        <w:spacing w:before="0" w:after="0"/>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5C04CC" w14:paraId="6862E862" w14:textId="77777777" w:rsidTr="00010D49">
        <w:trPr>
          <w:cantSplit/>
          <w:trHeight w:val="60"/>
        </w:trPr>
        <w:tc>
          <w:tcPr>
            <w:tcW w:w="1871" w:type="dxa"/>
          </w:tcPr>
          <w:p w14:paraId="22647E8A" w14:textId="77777777" w:rsidR="005C04CC" w:rsidRPr="00522DAB" w:rsidRDefault="005C04CC" w:rsidP="00010D49">
            <w:pPr>
              <w:pStyle w:val="TableSideHeading"/>
              <w:keepLines w:val="0"/>
            </w:pPr>
            <w:r w:rsidRPr="00522DAB">
              <w:rPr>
                <w:rFonts w:ascii="David" w:hAnsi="David" w:hint="cs"/>
                <w:sz w:val="26"/>
                <w:rtl/>
              </w:rPr>
              <w:t>תיקון</w:t>
            </w:r>
            <w:r w:rsidRPr="00522DAB">
              <w:rPr>
                <w:rFonts w:ascii="David" w:hAnsi="David"/>
                <w:sz w:val="26"/>
                <w:rtl/>
              </w:rPr>
              <w:t xml:space="preserve"> סעיף 58 </w:t>
            </w:r>
          </w:p>
        </w:tc>
        <w:tc>
          <w:tcPr>
            <w:tcW w:w="624" w:type="dxa"/>
          </w:tcPr>
          <w:p w14:paraId="04574044" w14:textId="77777777" w:rsidR="005C04CC" w:rsidRPr="00522DAB" w:rsidRDefault="005C04CC" w:rsidP="00010D49">
            <w:pPr>
              <w:pStyle w:val="TableText"/>
              <w:keepLines w:val="0"/>
            </w:pPr>
            <w:r w:rsidRPr="00522DAB">
              <w:rPr>
                <w:rFonts w:hint="cs"/>
                <w:rtl/>
              </w:rPr>
              <w:t>1.</w:t>
            </w:r>
          </w:p>
        </w:tc>
        <w:tc>
          <w:tcPr>
            <w:tcW w:w="7146" w:type="dxa"/>
            <w:gridSpan w:val="2"/>
          </w:tcPr>
          <w:p w14:paraId="224912CC" w14:textId="77777777" w:rsidR="005C04CC" w:rsidRPr="007847D6" w:rsidRDefault="005C04CC" w:rsidP="00010D49">
            <w:pPr>
              <w:pStyle w:val="TableBlock"/>
            </w:pPr>
            <w:r w:rsidRPr="00522DAB">
              <w:rPr>
                <w:rtl/>
              </w:rPr>
              <w:t>בחוק ביטוח בריאות ממלכתי, ה</w:t>
            </w:r>
            <w:r w:rsidRPr="007847D6">
              <w:rPr>
                <w:rtl/>
              </w:rPr>
              <w:t>תשנ"ד–1994</w:t>
            </w:r>
            <w:r w:rsidRPr="007847D6">
              <w:rPr>
                <w:szCs w:val="20"/>
                <w:rtl/>
              </w:rPr>
              <w:footnoteReference w:id="2"/>
            </w:r>
            <w:r w:rsidRPr="007847D6">
              <w:rPr>
                <w:rtl/>
              </w:rPr>
              <w:t xml:space="preserve"> , בסעיף 58</w:t>
            </w:r>
            <w:r>
              <w:rPr>
                <w:rtl/>
              </w:rPr>
              <w:t>(ב), האמור בו יסומן "(1)" ואחרי</w:t>
            </w:r>
            <w:r>
              <w:rPr>
                <w:rFonts w:hint="cs"/>
                <w:rtl/>
              </w:rPr>
              <w:t xml:space="preserve"> פסקה (1)</w:t>
            </w:r>
            <w:r w:rsidRPr="007847D6">
              <w:rPr>
                <w:rtl/>
              </w:rPr>
              <w:t xml:space="preserve"> יבוא:</w:t>
            </w:r>
          </w:p>
        </w:tc>
      </w:tr>
      <w:tr w:rsidR="005C04CC" w14:paraId="7A3B994B" w14:textId="77777777" w:rsidTr="00010D49">
        <w:trPr>
          <w:cantSplit/>
          <w:trHeight w:val="60"/>
        </w:trPr>
        <w:tc>
          <w:tcPr>
            <w:tcW w:w="1871" w:type="dxa"/>
          </w:tcPr>
          <w:p w14:paraId="3579F45C" w14:textId="77777777" w:rsidR="005C04CC" w:rsidRPr="00522DAB" w:rsidDel="0025602B" w:rsidRDefault="005C04CC" w:rsidP="00010D49">
            <w:pPr>
              <w:pStyle w:val="TableSideHeading"/>
              <w:keepLines w:val="0"/>
              <w:rPr>
                <w:rFonts w:ascii="David" w:hAnsi="David"/>
                <w:sz w:val="26"/>
                <w:rtl/>
              </w:rPr>
            </w:pPr>
          </w:p>
        </w:tc>
        <w:tc>
          <w:tcPr>
            <w:tcW w:w="624" w:type="dxa"/>
          </w:tcPr>
          <w:p w14:paraId="22A03175" w14:textId="77777777" w:rsidR="005C04CC" w:rsidRPr="00522DAB" w:rsidRDefault="005C04CC" w:rsidP="00010D49">
            <w:pPr>
              <w:pStyle w:val="TableText"/>
              <w:keepLines w:val="0"/>
              <w:rPr>
                <w:rtl/>
              </w:rPr>
            </w:pPr>
          </w:p>
        </w:tc>
        <w:tc>
          <w:tcPr>
            <w:tcW w:w="7146" w:type="dxa"/>
            <w:gridSpan w:val="2"/>
          </w:tcPr>
          <w:p w14:paraId="76962CA4" w14:textId="77777777" w:rsidR="005C04CC" w:rsidRPr="00D42964" w:rsidRDefault="005C04CC" w:rsidP="00010D49">
            <w:pPr>
              <w:pStyle w:val="TableBlock"/>
              <w:rPr>
                <w:rtl/>
              </w:rPr>
            </w:pPr>
            <w:r w:rsidRPr="00D42964">
              <w:rPr>
                <w:rFonts w:hint="cs"/>
                <w:rtl/>
              </w:rPr>
              <w:t>"(2)</w:t>
            </w:r>
            <w:r w:rsidRPr="00D42964">
              <w:rPr>
                <w:rtl/>
              </w:rPr>
              <w:tab/>
            </w:r>
            <w:r w:rsidRPr="00D42964">
              <w:rPr>
                <w:rFonts w:hint="cs"/>
                <w:rtl/>
              </w:rPr>
              <w:t xml:space="preserve">הוראות פסקה (1) לא יחולו על מי שהיה תושב כאמור באותה פסקה, והוא מוכר בידי </w:t>
            </w:r>
            <w:r w:rsidRPr="00D42964">
              <w:rPr>
                <w:rFonts w:hint="eastAsia"/>
                <w:rtl/>
              </w:rPr>
              <w:t>משרד</w:t>
            </w:r>
            <w:r w:rsidRPr="00D42964">
              <w:rPr>
                <w:rtl/>
              </w:rPr>
              <w:t xml:space="preserve"> </w:t>
            </w:r>
            <w:r w:rsidRPr="00D42964">
              <w:rPr>
                <w:rFonts w:hint="cs"/>
                <w:rtl/>
              </w:rPr>
              <w:t xml:space="preserve">הפנים כגלמוד; לעניין פסקה זו </w:t>
            </w:r>
            <w:r w:rsidRPr="00D42964">
              <w:rPr>
                <w:rFonts w:hint="eastAsia"/>
                <w:rtl/>
              </w:rPr>
              <w:t>–</w:t>
            </w:r>
            <w:r w:rsidRPr="00D42964">
              <w:rPr>
                <w:rFonts w:hint="cs"/>
                <w:rtl/>
              </w:rPr>
              <w:t xml:space="preserve"> </w:t>
            </w:r>
          </w:p>
        </w:tc>
      </w:tr>
      <w:tr w:rsidR="005C04CC" w14:paraId="41502138" w14:textId="77777777" w:rsidTr="00010D49">
        <w:trPr>
          <w:cantSplit/>
          <w:trHeight w:val="60"/>
        </w:trPr>
        <w:tc>
          <w:tcPr>
            <w:tcW w:w="1871" w:type="dxa"/>
          </w:tcPr>
          <w:p w14:paraId="5B74CD0D" w14:textId="77777777" w:rsidR="005C04CC" w:rsidRPr="00522DAB" w:rsidRDefault="005C04CC" w:rsidP="00010D49">
            <w:pPr>
              <w:pStyle w:val="TableSideHeading"/>
            </w:pPr>
          </w:p>
        </w:tc>
        <w:tc>
          <w:tcPr>
            <w:tcW w:w="624" w:type="dxa"/>
          </w:tcPr>
          <w:p w14:paraId="2AEB60D6" w14:textId="77777777" w:rsidR="005C04CC" w:rsidRPr="00522DAB" w:rsidRDefault="005C04CC" w:rsidP="00010D49">
            <w:pPr>
              <w:pStyle w:val="TableText"/>
            </w:pPr>
          </w:p>
        </w:tc>
        <w:tc>
          <w:tcPr>
            <w:tcW w:w="624" w:type="dxa"/>
          </w:tcPr>
          <w:p w14:paraId="22EEC7E9" w14:textId="77777777" w:rsidR="005C04CC" w:rsidRPr="00522DAB" w:rsidRDefault="005C04CC" w:rsidP="00010D49">
            <w:pPr>
              <w:pStyle w:val="TableText"/>
            </w:pPr>
          </w:p>
        </w:tc>
        <w:tc>
          <w:tcPr>
            <w:tcW w:w="6522" w:type="dxa"/>
          </w:tcPr>
          <w:p w14:paraId="3D780B23" w14:textId="77777777" w:rsidR="005C04CC" w:rsidRPr="00522DAB" w:rsidRDefault="005C04CC" w:rsidP="00010D49">
            <w:pPr>
              <w:pStyle w:val="TableBlockOutdent"/>
            </w:pPr>
            <w:r w:rsidRPr="00522DAB">
              <w:rPr>
                <w:rtl/>
              </w:rPr>
              <w:t>"גלמוד" – מי  שאין לו בישראל או מחוץ לישראל קרוב משפחה, או שקרוב המשפחה שיש לו הוא חולה</w:t>
            </w:r>
            <w:r w:rsidRPr="00522DAB">
              <w:t xml:space="preserve"> </w:t>
            </w:r>
            <w:r w:rsidRPr="00522DAB">
              <w:rPr>
                <w:rFonts w:hint="eastAsia"/>
                <w:rtl/>
              </w:rPr>
              <w:t>כהגדרתו</w:t>
            </w:r>
            <w:r w:rsidRPr="00522DAB">
              <w:t xml:space="preserve"> </w:t>
            </w:r>
            <w:r w:rsidRPr="00522DAB">
              <w:rPr>
                <w:rFonts w:hint="eastAsia"/>
                <w:rtl/>
              </w:rPr>
              <w:t>בחוק</w:t>
            </w:r>
            <w:r w:rsidRPr="00522DAB">
              <w:t xml:space="preserve"> </w:t>
            </w:r>
            <w:r w:rsidRPr="00522DAB">
              <w:rPr>
                <w:rFonts w:hint="eastAsia"/>
                <w:rtl/>
              </w:rPr>
              <w:t>טיפול</w:t>
            </w:r>
            <w:r w:rsidRPr="00522DAB">
              <w:t xml:space="preserve"> </w:t>
            </w:r>
            <w:r w:rsidRPr="00522DAB">
              <w:rPr>
                <w:rFonts w:hint="eastAsia"/>
                <w:rtl/>
              </w:rPr>
              <w:t>בחולי</w:t>
            </w:r>
            <w:r w:rsidRPr="00522DAB">
              <w:t xml:space="preserve"> </w:t>
            </w:r>
            <w:r w:rsidRPr="00522DAB">
              <w:rPr>
                <w:rFonts w:hint="eastAsia"/>
                <w:rtl/>
              </w:rPr>
              <w:t>נפש</w:t>
            </w:r>
            <w:r w:rsidRPr="00522DAB">
              <w:rPr>
                <w:rtl/>
              </w:rPr>
              <w:t xml:space="preserve">, </w:t>
            </w:r>
            <w:r w:rsidRPr="00522DAB">
              <w:rPr>
                <w:rFonts w:hint="eastAsia"/>
                <w:rtl/>
              </w:rPr>
              <w:t>התשנ</w:t>
            </w:r>
            <w:r w:rsidRPr="00522DAB">
              <w:t>"</w:t>
            </w:r>
            <w:r w:rsidRPr="00522DAB">
              <w:rPr>
                <w:rFonts w:hint="eastAsia"/>
                <w:rtl/>
              </w:rPr>
              <w:t>א</w:t>
            </w:r>
            <w:r>
              <w:rPr>
                <w:rFonts w:hint="cs"/>
                <w:rtl/>
              </w:rPr>
              <w:t>–</w:t>
            </w:r>
            <w:r w:rsidRPr="00522DAB">
              <w:rPr>
                <w:rtl/>
              </w:rPr>
              <w:t>1991</w:t>
            </w:r>
            <w:r w:rsidRPr="007847D6">
              <w:rPr>
                <w:szCs w:val="20"/>
                <w:rtl/>
              </w:rPr>
              <w:footnoteReference w:id="3"/>
            </w:r>
            <w:r w:rsidRPr="007847D6">
              <w:rPr>
                <w:szCs w:val="20"/>
                <w:rtl/>
              </w:rPr>
              <w:t xml:space="preserve"> </w:t>
            </w:r>
            <w:r w:rsidRPr="00522DAB">
              <w:rPr>
                <w:rFonts w:hint="eastAsia"/>
                <w:rtl/>
              </w:rPr>
              <w:t>המאושפז</w:t>
            </w:r>
            <w:r w:rsidRPr="00522DAB">
              <w:t xml:space="preserve"> </w:t>
            </w:r>
            <w:r w:rsidRPr="00522DAB">
              <w:rPr>
                <w:rFonts w:hint="eastAsia"/>
                <w:rtl/>
              </w:rPr>
              <w:t>בבית</w:t>
            </w:r>
            <w:r w:rsidRPr="00522DAB">
              <w:t xml:space="preserve"> </w:t>
            </w:r>
            <w:r w:rsidRPr="00522DAB">
              <w:rPr>
                <w:rFonts w:hint="eastAsia"/>
                <w:rtl/>
              </w:rPr>
              <w:t>חולים</w:t>
            </w:r>
            <w:r w:rsidRPr="00522DAB">
              <w:rPr>
                <w:rtl/>
              </w:rPr>
              <w:t xml:space="preserve"> </w:t>
            </w:r>
            <w:r w:rsidRPr="00522DAB">
              <w:rPr>
                <w:rFonts w:hint="eastAsia"/>
                <w:rtl/>
              </w:rPr>
              <w:t>כהגדרתו</w:t>
            </w:r>
            <w:r w:rsidRPr="00522DAB">
              <w:t xml:space="preserve"> </w:t>
            </w:r>
            <w:r w:rsidRPr="00522DAB">
              <w:rPr>
                <w:rFonts w:hint="eastAsia"/>
                <w:rtl/>
              </w:rPr>
              <w:t>בחוק</w:t>
            </w:r>
            <w:r w:rsidRPr="00522DAB">
              <w:t xml:space="preserve"> </w:t>
            </w:r>
            <w:r w:rsidRPr="00522DAB">
              <w:rPr>
                <w:rFonts w:hint="eastAsia"/>
                <w:rtl/>
              </w:rPr>
              <w:t>האמור</w:t>
            </w:r>
            <w:r w:rsidRPr="00522DAB">
              <w:rPr>
                <w:rtl/>
              </w:rPr>
              <w:t>;</w:t>
            </w:r>
          </w:p>
        </w:tc>
      </w:tr>
      <w:tr w:rsidR="005C04CC" w14:paraId="31D9C266" w14:textId="77777777" w:rsidTr="00010D49">
        <w:trPr>
          <w:cantSplit/>
          <w:trHeight w:val="60"/>
        </w:trPr>
        <w:tc>
          <w:tcPr>
            <w:tcW w:w="1871" w:type="dxa"/>
          </w:tcPr>
          <w:p w14:paraId="3A174393" w14:textId="77777777" w:rsidR="005C04CC" w:rsidRPr="00522DAB" w:rsidRDefault="005C04CC" w:rsidP="00010D49">
            <w:pPr>
              <w:pStyle w:val="TableSideHeading"/>
            </w:pPr>
          </w:p>
        </w:tc>
        <w:tc>
          <w:tcPr>
            <w:tcW w:w="624" w:type="dxa"/>
          </w:tcPr>
          <w:p w14:paraId="29883D43" w14:textId="77777777" w:rsidR="005C04CC" w:rsidRPr="00522DAB" w:rsidRDefault="005C04CC" w:rsidP="00010D49">
            <w:pPr>
              <w:pStyle w:val="TableText"/>
            </w:pPr>
          </w:p>
        </w:tc>
        <w:tc>
          <w:tcPr>
            <w:tcW w:w="624" w:type="dxa"/>
          </w:tcPr>
          <w:p w14:paraId="6AA30B87" w14:textId="77777777" w:rsidR="005C04CC" w:rsidRPr="00522DAB" w:rsidRDefault="005C04CC" w:rsidP="00010D49">
            <w:pPr>
              <w:pStyle w:val="TableText"/>
            </w:pPr>
          </w:p>
        </w:tc>
        <w:tc>
          <w:tcPr>
            <w:tcW w:w="6522" w:type="dxa"/>
          </w:tcPr>
          <w:p w14:paraId="0BFE323B" w14:textId="77777777" w:rsidR="005C04CC" w:rsidRPr="00522DAB" w:rsidRDefault="005C04CC" w:rsidP="00010D49">
            <w:pPr>
              <w:pStyle w:val="TableBlock"/>
              <w:rPr>
                <w:rtl/>
              </w:rPr>
            </w:pPr>
            <w:r w:rsidRPr="00522DAB">
              <w:rPr>
                <w:rtl/>
              </w:rPr>
              <w:t>"קרוב משפחה" – הור</w:t>
            </w:r>
            <w:r w:rsidRPr="00522DAB">
              <w:rPr>
                <w:rFonts w:hint="eastAsia"/>
                <w:rtl/>
              </w:rPr>
              <w:t>ה</w:t>
            </w:r>
            <w:r w:rsidRPr="00522DAB">
              <w:rPr>
                <w:rtl/>
              </w:rPr>
              <w:t xml:space="preserve">, </w:t>
            </w:r>
            <w:r w:rsidRPr="00522DAB">
              <w:rPr>
                <w:rFonts w:hint="eastAsia"/>
                <w:rtl/>
              </w:rPr>
              <w:t>בן</w:t>
            </w:r>
            <w:r w:rsidRPr="00522DAB">
              <w:rPr>
                <w:rtl/>
              </w:rPr>
              <w:t xml:space="preserve"> </w:t>
            </w:r>
            <w:r w:rsidRPr="00522DAB">
              <w:rPr>
                <w:rFonts w:hint="eastAsia"/>
                <w:rtl/>
              </w:rPr>
              <w:t>זוג</w:t>
            </w:r>
            <w:r w:rsidRPr="00522DAB">
              <w:rPr>
                <w:rtl/>
              </w:rPr>
              <w:t xml:space="preserve"> </w:t>
            </w:r>
            <w:r w:rsidRPr="00522DAB">
              <w:rPr>
                <w:rFonts w:hint="eastAsia"/>
                <w:rtl/>
              </w:rPr>
              <w:t>או</w:t>
            </w:r>
            <w:r w:rsidRPr="00522DAB">
              <w:rPr>
                <w:rtl/>
              </w:rPr>
              <w:t xml:space="preserve"> </w:t>
            </w:r>
            <w:r w:rsidRPr="00522DAB">
              <w:rPr>
                <w:rFonts w:hint="eastAsia"/>
                <w:rtl/>
              </w:rPr>
              <w:t>ילד</w:t>
            </w:r>
            <w:r w:rsidRPr="00522DAB">
              <w:rPr>
                <w:rtl/>
              </w:rPr>
              <w:t>."</w:t>
            </w:r>
          </w:p>
        </w:tc>
      </w:tr>
    </w:tbl>
    <w:p w14:paraId="7F6961CA" w14:textId="77777777" w:rsidR="002D1EE3" w:rsidRDefault="002D1EE3" w:rsidP="002D1EE3">
      <w:pPr>
        <w:pStyle w:val="HeadDivreiHesber"/>
        <w:rPr>
          <w:rtl/>
        </w:rPr>
      </w:pPr>
      <w:r w:rsidRPr="0027450A">
        <w:rPr>
          <w:rFonts w:hint="cs"/>
          <w:rtl/>
        </w:rPr>
        <w:t>דברי הסבר</w:t>
      </w:r>
    </w:p>
    <w:p w14:paraId="4D3BF70C" w14:textId="77777777" w:rsidR="005C04CC" w:rsidRPr="00F57994" w:rsidRDefault="005C04CC" w:rsidP="005C04CC">
      <w:pPr>
        <w:pStyle w:val="Hesber"/>
        <w:rPr>
          <w:rtl/>
        </w:rPr>
      </w:pPr>
      <w:r w:rsidRPr="00F57994">
        <w:rPr>
          <w:rtl/>
        </w:rPr>
        <w:t xml:space="preserve">בהתאם לחוק ביטוח ממלכתי, התשנ"ד–1994, קיימת הגבלה </w:t>
      </w:r>
      <w:r w:rsidRPr="00F57994">
        <w:rPr>
          <w:rFonts w:hint="cs"/>
          <w:rtl/>
        </w:rPr>
        <w:t xml:space="preserve">על הזכות </w:t>
      </w:r>
      <w:r w:rsidRPr="00F57994">
        <w:rPr>
          <w:rtl/>
        </w:rPr>
        <w:t xml:space="preserve">לקבלת שירותי בריאות של </w:t>
      </w:r>
      <w:r w:rsidRPr="00F57994">
        <w:rPr>
          <w:rFonts w:hint="cs"/>
          <w:rtl/>
        </w:rPr>
        <w:t>מי ש</w:t>
      </w:r>
      <w:r w:rsidRPr="00F57994">
        <w:rPr>
          <w:rtl/>
        </w:rPr>
        <w:t>הוכר כתושב במוסד לביטוח לאומי</w:t>
      </w:r>
      <w:r w:rsidRPr="00F57994">
        <w:rPr>
          <w:rFonts w:hint="cs"/>
          <w:rtl/>
        </w:rPr>
        <w:t xml:space="preserve"> אך לאחר מכן </w:t>
      </w:r>
      <w:r w:rsidRPr="00F57994">
        <w:rPr>
          <w:rtl/>
        </w:rPr>
        <w:t xml:space="preserve">שהה בחו"ל </w:t>
      </w:r>
      <w:r w:rsidRPr="00F57994">
        <w:rPr>
          <w:rFonts w:hint="cs"/>
          <w:rtl/>
        </w:rPr>
        <w:t>תקופה משמעותית עד ש</w:t>
      </w:r>
      <w:r w:rsidRPr="00F57994">
        <w:rPr>
          <w:rtl/>
        </w:rPr>
        <w:t>חזר לישראל</w:t>
      </w:r>
      <w:r w:rsidRPr="00F57994">
        <w:rPr>
          <w:rFonts w:hint="cs"/>
          <w:rtl/>
        </w:rPr>
        <w:t>.</w:t>
      </w:r>
      <w:r w:rsidRPr="00F57994">
        <w:rPr>
          <w:rtl/>
        </w:rPr>
        <w:t xml:space="preserve"> </w:t>
      </w:r>
    </w:p>
    <w:p w14:paraId="10816134" w14:textId="77777777" w:rsidR="005C04CC" w:rsidRPr="00F57994" w:rsidRDefault="005C04CC" w:rsidP="005C04CC">
      <w:pPr>
        <w:pStyle w:val="Hesber"/>
        <w:rPr>
          <w:rtl/>
        </w:rPr>
      </w:pPr>
      <w:r w:rsidRPr="00F57994">
        <w:rPr>
          <w:rFonts w:hint="cs"/>
          <w:rtl/>
        </w:rPr>
        <w:t xml:space="preserve">בפני </w:t>
      </w:r>
      <w:r w:rsidRPr="00F57994">
        <w:rPr>
          <w:rtl/>
        </w:rPr>
        <w:t>אדם כזה קיימות שתי אפשרויות: האחת, להמתין את תקופת ההמתנה שנקבעה בחוק (עד שישה חודשים). השנייה, לשלם תשלום מיוחד (</w:t>
      </w:r>
      <w:r w:rsidRPr="00F57994">
        <w:rPr>
          <w:rFonts w:hint="cs"/>
          <w:rtl/>
        </w:rPr>
        <w:t>למעלה מ-11,000 ש"ח</w:t>
      </w:r>
      <w:r w:rsidRPr="00F57994">
        <w:rPr>
          <w:rtl/>
        </w:rPr>
        <w:t xml:space="preserve"> ₪) ולהיות זכאי מי</w:t>
      </w:r>
      <w:r w:rsidRPr="00F57994">
        <w:rPr>
          <w:rFonts w:hint="cs"/>
          <w:rtl/>
        </w:rPr>
        <w:t>י</w:t>
      </w:r>
      <w:r w:rsidRPr="00F57994">
        <w:rPr>
          <w:rtl/>
        </w:rPr>
        <w:t>דית לשירותי בריאות.</w:t>
      </w:r>
    </w:p>
    <w:p w14:paraId="4E7AB333" w14:textId="14F0ED79" w:rsidR="005C04CC" w:rsidRPr="00F57994" w:rsidRDefault="005C04CC" w:rsidP="005C04CC">
      <w:pPr>
        <w:pStyle w:val="Hesber"/>
        <w:rPr>
          <w:rtl/>
        </w:rPr>
      </w:pPr>
      <w:r w:rsidRPr="00F57994">
        <w:rPr>
          <w:rtl/>
        </w:rPr>
        <w:t xml:space="preserve">דא עקא, שקיימת אוכלוסייה מצומצמת, המוערכת בעשרות בודדות של מוכי גורל, </w:t>
      </w:r>
      <w:r w:rsidRPr="00F57994">
        <w:rPr>
          <w:rFonts w:hint="cs"/>
          <w:rtl/>
        </w:rPr>
        <w:t>שהם תושבי ישראל ששהו בחו"ל</w:t>
      </w:r>
      <w:r w:rsidRPr="00F57994">
        <w:rPr>
          <w:rtl/>
        </w:rPr>
        <w:t xml:space="preserve"> </w:t>
      </w:r>
      <w:r w:rsidRPr="00F57994">
        <w:rPr>
          <w:rFonts w:hint="cs"/>
          <w:rtl/>
        </w:rPr>
        <w:t>ו</w:t>
      </w:r>
      <w:r w:rsidRPr="00F57994">
        <w:rPr>
          <w:rtl/>
        </w:rPr>
        <w:t>אין בידם כל אמצעי כספי לשלם תשלום מיוחד זה, בעוד הם זקוקים</w:t>
      </w:r>
      <w:r w:rsidR="008C3553">
        <w:rPr>
          <w:rtl/>
        </w:rPr>
        <w:t xml:space="preserve"> לטיפולים רפואיים מי</w:t>
      </w:r>
      <w:r w:rsidRPr="00F57994">
        <w:rPr>
          <w:rtl/>
        </w:rPr>
        <w:t>ד</w:t>
      </w:r>
      <w:r w:rsidRPr="00F57994">
        <w:rPr>
          <w:rFonts w:hint="cs"/>
          <w:rtl/>
        </w:rPr>
        <w:t>י</w:t>
      </w:r>
      <w:r w:rsidRPr="00F57994">
        <w:rPr>
          <w:rtl/>
        </w:rPr>
        <w:t>ים.</w:t>
      </w:r>
    </w:p>
    <w:p w14:paraId="543984EA" w14:textId="77777777" w:rsidR="005C04CC" w:rsidRPr="00F57994" w:rsidRDefault="005C04CC" w:rsidP="005C04CC">
      <w:pPr>
        <w:pStyle w:val="Hesber"/>
      </w:pPr>
      <w:r w:rsidRPr="00F57994">
        <w:rPr>
          <w:rtl/>
        </w:rPr>
        <w:t xml:space="preserve">לרוב מדובר באוכלוסייה ששוהה שנים רבות מחוץ לישראל, חסרת בית, חולה, גלמודה וערירית, וחסרת כל אמצעי מחיה בסיסיים, שאין לה בישראל או בחו"ל קרובי משפחה שיכולים לסייע לה בעת </w:t>
      </w:r>
      <w:r w:rsidRPr="00F57994">
        <w:rPr>
          <w:rtl/>
        </w:rPr>
        <w:lastRenderedPageBreak/>
        <w:t>צרה. המדינה כבר הכירה בעבר כי מדובר באוכלוסייה המוחלשת ביותר ואישרה מימון הקמת מצבה במסגרת הסכם בדבר מימון הקמת מצבות לנפטרים גלמודים.</w:t>
      </w:r>
    </w:p>
    <w:p w14:paraId="3DACF999" w14:textId="77777777" w:rsidR="005C04CC" w:rsidRPr="00F57994" w:rsidRDefault="005C04CC" w:rsidP="005C04CC">
      <w:pPr>
        <w:pStyle w:val="Hesber"/>
        <w:rPr>
          <w:rtl/>
        </w:rPr>
      </w:pPr>
      <w:r w:rsidRPr="00F57994">
        <w:rPr>
          <w:rtl/>
        </w:rPr>
        <w:t>מדינת ישראל המחויבת מבחינה ערכית ומוסרית לכל אזרחיה, אינה יכולה להשאיר אוכלוסייה זאת ללא שום עזרה או סיוע, בהיעדר כל גורם אחר שיכול לסייע ל</w:t>
      </w:r>
      <w:r w:rsidRPr="00F57994">
        <w:rPr>
          <w:rFonts w:hint="cs"/>
          <w:rtl/>
        </w:rPr>
        <w:t>תושבים</w:t>
      </w:r>
      <w:r w:rsidRPr="00F57994">
        <w:rPr>
          <w:rtl/>
        </w:rPr>
        <w:t xml:space="preserve"> ישראליים אלה. </w:t>
      </w:r>
    </w:p>
    <w:p w14:paraId="2FF02E56" w14:textId="77777777" w:rsidR="005C04CC" w:rsidRPr="00F57994" w:rsidRDefault="005C04CC" w:rsidP="005C04CC">
      <w:pPr>
        <w:pStyle w:val="Hesber"/>
        <w:rPr>
          <w:rtl/>
        </w:rPr>
      </w:pPr>
      <w:r w:rsidRPr="00F57994">
        <w:rPr>
          <w:rFonts w:hint="cs"/>
          <w:rtl/>
        </w:rPr>
        <w:t xml:space="preserve">לפיכך מוצע כי חובת תקופת ההמתנה לא תחול לגבי תושב ישראל שהוכר כגלמוד, דהיינו כמי שאין לו קרובים שהם הורים, בני זוג או ילדים, או שקרובים כאמור שיש לו הם חולי נפש המאושפזים בבית חולים לחולי נפש. </w:t>
      </w:r>
    </w:p>
    <w:p w14:paraId="2C2E6539" w14:textId="77777777" w:rsidR="005C04CC" w:rsidRPr="00F57994" w:rsidRDefault="005C04CC" w:rsidP="005C04CC">
      <w:pPr>
        <w:pStyle w:val="Hesber"/>
        <w:rPr>
          <w:rtl/>
        </w:rPr>
      </w:pPr>
      <w:r w:rsidRPr="00F57994">
        <w:rPr>
          <w:rtl/>
        </w:rPr>
        <w:t xml:space="preserve">הצעת החוק תעמיד את מדינת ישראל כמי שמקיימת את </w:t>
      </w:r>
      <w:r w:rsidRPr="00F57994">
        <w:rPr>
          <w:rFonts w:hint="cs"/>
          <w:rtl/>
        </w:rPr>
        <w:t>הציווי</w:t>
      </w:r>
      <w:r w:rsidRPr="00F57994">
        <w:rPr>
          <w:rtl/>
        </w:rPr>
        <w:t xml:space="preserve"> של "לא תעמוד על דם רעך" ו</w:t>
      </w:r>
      <w:r w:rsidRPr="00F57994">
        <w:rPr>
          <w:rFonts w:hint="cs"/>
          <w:rtl/>
        </w:rPr>
        <w:t>נוסף על כך</w:t>
      </w:r>
      <w:r w:rsidRPr="00F57994">
        <w:rPr>
          <w:rtl/>
        </w:rPr>
        <w:t xml:space="preserve"> תציג את הפנים היפות של מדינת ישראל שדואגת לכל אזרחיה בעת צרה, גם </w:t>
      </w:r>
      <w:r w:rsidRPr="00F57994">
        <w:rPr>
          <w:rFonts w:hint="cs"/>
          <w:rtl/>
        </w:rPr>
        <w:t>ל</w:t>
      </w:r>
      <w:r w:rsidRPr="00F57994">
        <w:rPr>
          <w:rtl/>
        </w:rPr>
        <w:t>אוכלוסייה המוחלשת ביותר שאין לה קרובי משפחה.</w:t>
      </w:r>
      <w:bookmarkStart w:id="8" w:name="MKs"/>
      <w:bookmarkStart w:id="9" w:name="LawNum"/>
      <w:r w:rsidRPr="00F57994">
        <w:rPr>
          <w:rFonts w:hint="cs"/>
          <w:rtl/>
        </w:rPr>
        <w:t xml:space="preserve"> </w:t>
      </w:r>
    </w:p>
    <w:p w14:paraId="0AEDF63B" w14:textId="4D61309E" w:rsidR="005C04CC" w:rsidRPr="00F57994" w:rsidRDefault="005C04CC" w:rsidP="00A0498B">
      <w:pPr>
        <w:pStyle w:val="Hesber"/>
        <w:rPr>
          <w:rtl/>
        </w:rPr>
      </w:pPr>
      <w:r w:rsidRPr="00F57994">
        <w:rPr>
          <w:rFonts w:hint="cs"/>
          <w:rtl/>
        </w:rPr>
        <w:t>הצע</w:t>
      </w:r>
      <w:r>
        <w:rPr>
          <w:rFonts w:hint="cs"/>
          <w:rtl/>
        </w:rPr>
        <w:t>ות חוק זהות הונחו</w:t>
      </w:r>
      <w:r w:rsidRPr="00F57994">
        <w:rPr>
          <w:rFonts w:hint="cs"/>
          <w:rtl/>
        </w:rPr>
        <w:t xml:space="preserve"> על שולחן הכנסת העשרים ושתיים</w:t>
      </w:r>
      <w:r w:rsidR="008C3553">
        <w:rPr>
          <w:rFonts w:hint="cs"/>
          <w:rtl/>
        </w:rPr>
        <w:t>,</w:t>
      </w:r>
      <w:r w:rsidRPr="00F57994">
        <w:rPr>
          <w:rFonts w:hint="cs"/>
          <w:rtl/>
        </w:rPr>
        <w:t xml:space="preserve"> על שולחן הכנסת העשרים ושלוש </w:t>
      </w:r>
      <w:r w:rsidR="008C3553">
        <w:rPr>
          <w:rFonts w:hint="cs"/>
          <w:rtl/>
        </w:rPr>
        <w:t>ו</w:t>
      </w:r>
      <w:r w:rsidR="008C3553">
        <w:rPr>
          <w:rFonts w:ascii="David" w:hAnsi="David" w:hint="cs"/>
          <w:sz w:val="26"/>
          <w:rtl/>
        </w:rPr>
        <w:t xml:space="preserve">על שולחן הכנסת העשרים וארבע </w:t>
      </w:r>
      <w:r w:rsidRPr="00F57994">
        <w:rPr>
          <w:rFonts w:hint="cs"/>
          <w:rtl/>
        </w:rPr>
        <w:t>על ידי חברת הכנסת</w:t>
      </w:r>
      <w:bookmarkEnd w:id="8"/>
      <w:r w:rsidRPr="00F57994">
        <w:t xml:space="preserve"> </w:t>
      </w:r>
      <w:r w:rsidRPr="00F57994">
        <w:rPr>
          <w:rFonts w:hint="cs"/>
          <w:rtl/>
        </w:rPr>
        <w:t>חוה אתי עטייה (פ/260/22</w:t>
      </w:r>
      <w:r w:rsidR="00A0498B">
        <w:rPr>
          <w:rFonts w:hint="cs"/>
          <w:rtl/>
        </w:rPr>
        <w:t xml:space="preserve">; </w:t>
      </w:r>
      <w:r w:rsidRPr="00F57994">
        <w:rPr>
          <w:rFonts w:hint="cs"/>
          <w:rtl/>
        </w:rPr>
        <w:t>פ/235/23</w:t>
      </w:r>
      <w:r w:rsidR="008C3553">
        <w:rPr>
          <w:rFonts w:hint="cs"/>
          <w:rtl/>
        </w:rPr>
        <w:t>; פ/871/24</w:t>
      </w:r>
      <w:r w:rsidRPr="00F57994">
        <w:rPr>
          <w:rFonts w:hint="cs"/>
          <w:rtl/>
        </w:rPr>
        <w:t>).</w:t>
      </w:r>
      <w:bookmarkEnd w:id="9"/>
      <w:r w:rsidRPr="00F57994">
        <w:rPr>
          <w:rFonts w:hint="cs"/>
          <w:rtl/>
        </w:rPr>
        <w:tab/>
      </w:r>
    </w:p>
    <w:p w14:paraId="7F6961CB" w14:textId="7964E40C" w:rsidR="00E13C27" w:rsidRDefault="005C04CC" w:rsidP="008C3553">
      <w:pPr>
        <w:pStyle w:val="Hesber"/>
        <w:rPr>
          <w:rFonts w:ascii="David" w:hAnsi="David"/>
          <w:sz w:val="26"/>
          <w:rtl/>
        </w:rPr>
      </w:pPr>
      <w:r>
        <w:rPr>
          <w:rFonts w:ascii="David" w:hAnsi="David"/>
          <w:sz w:val="26"/>
          <w:rtl/>
        </w:rPr>
        <w:t>הצע</w:t>
      </w:r>
      <w:r>
        <w:rPr>
          <w:rFonts w:ascii="David" w:hAnsi="David" w:hint="cs"/>
          <w:sz w:val="26"/>
          <w:rtl/>
        </w:rPr>
        <w:t>ת החוק</w:t>
      </w:r>
      <w:r>
        <w:rPr>
          <w:rFonts w:ascii="David" w:hAnsi="David"/>
          <w:sz w:val="26"/>
          <w:rtl/>
        </w:rPr>
        <w:t xml:space="preserve"> זהה לפ/</w:t>
      </w:r>
      <w:r w:rsidR="008C3553">
        <w:rPr>
          <w:rFonts w:ascii="David" w:hAnsi="David" w:hint="cs"/>
          <w:sz w:val="26"/>
          <w:rtl/>
        </w:rPr>
        <w:t>871/24</w:t>
      </w:r>
      <w:r w:rsidR="00BB4FCC">
        <w:rPr>
          <w:rFonts w:ascii="David" w:hAnsi="David"/>
          <w:sz w:val="26"/>
          <w:rtl/>
        </w:rPr>
        <w:t xml:space="preserve"> ול</w:t>
      </w:r>
      <w:r w:rsidR="00BB4FCC">
        <w:rPr>
          <w:rFonts w:ascii="David" w:hAnsi="David" w:hint="cs"/>
          <w:sz w:val="26"/>
          <w:rtl/>
        </w:rPr>
        <w:t>פיכך</w:t>
      </w:r>
      <w:bookmarkStart w:id="10" w:name="_GoBack"/>
      <w:bookmarkEnd w:id="10"/>
      <w:r>
        <w:rPr>
          <w:rFonts w:ascii="David" w:hAnsi="David"/>
          <w:sz w:val="26"/>
          <w:rtl/>
        </w:rPr>
        <w:t xml:space="preserve"> לא נבדקה מחדש על ידי הלשכה המשפטית של הכנסת.</w:t>
      </w:r>
    </w:p>
    <w:p w14:paraId="4B8998BF" w14:textId="77777777" w:rsidR="00A0498B" w:rsidRDefault="00A0498B" w:rsidP="008C3553">
      <w:pPr>
        <w:pStyle w:val="Hesber"/>
        <w:rPr>
          <w:rFonts w:ascii="David" w:hAnsi="David"/>
          <w:sz w:val="26"/>
          <w:rtl/>
        </w:rPr>
      </w:pPr>
    </w:p>
    <w:p w14:paraId="78B5B9C4" w14:textId="77777777" w:rsidR="00A0498B" w:rsidRDefault="00A0498B" w:rsidP="008C3553">
      <w:pPr>
        <w:pStyle w:val="Hesber"/>
        <w:rPr>
          <w:rFonts w:ascii="David" w:hAnsi="David"/>
          <w:sz w:val="26"/>
          <w:rtl/>
        </w:rPr>
      </w:pPr>
    </w:p>
    <w:p w14:paraId="71831E9D" w14:textId="77777777" w:rsidR="009D6537" w:rsidRDefault="00A0498B">
      <w:pPr>
        <w:spacing w:before="0" w:line="360" w:lineRule="auto"/>
        <w:jc w:val="left"/>
      </w:pPr>
      <w:bookmarkStart w:id="11" w:name="selectedDocDateB"/>
      <w:bookmarkEnd w:id="11"/>
      <w:r>
        <w:rPr>
          <w:rFonts w:ascii="David" w:eastAsia="David" w:hAnsi="David" w:cs="David" w:hint="cs"/>
          <w:sz w:val="26"/>
          <w:szCs w:val="26"/>
          <w:rtl/>
        </w:rPr>
        <w:t>--------------------------------</w:t>
      </w:r>
    </w:p>
    <w:p w14:paraId="4E3A66A5" w14:textId="77777777" w:rsidR="009D6537" w:rsidRDefault="00A0498B">
      <w:pPr>
        <w:spacing w:before="0" w:line="360" w:lineRule="auto"/>
        <w:jc w:val="left"/>
      </w:pPr>
      <w:r>
        <w:rPr>
          <w:rFonts w:ascii="David" w:eastAsia="David" w:hAnsi="David" w:cs="David" w:hint="cs"/>
          <w:sz w:val="26"/>
          <w:szCs w:val="26"/>
          <w:rtl/>
        </w:rPr>
        <w:t>הוגשה ליו"ר הכנסת והסגנים</w:t>
      </w:r>
    </w:p>
    <w:p w14:paraId="31809A4A" w14:textId="77777777" w:rsidR="009D6537" w:rsidRDefault="00A0498B">
      <w:pPr>
        <w:spacing w:before="0" w:line="360" w:lineRule="auto"/>
        <w:jc w:val="left"/>
      </w:pPr>
      <w:r>
        <w:rPr>
          <w:rFonts w:ascii="David" w:eastAsia="David" w:hAnsi="David" w:cs="David" w:hint="cs"/>
          <w:sz w:val="26"/>
          <w:szCs w:val="26"/>
          <w:rtl/>
        </w:rPr>
        <w:t>והונחה על שולחן הכנסת ביום</w:t>
      </w:r>
    </w:p>
    <w:p w14:paraId="2DABD443" w14:textId="77777777" w:rsidR="009D6537" w:rsidRDefault="00A0498B">
      <w:pPr>
        <w:spacing w:before="0" w:line="360" w:lineRule="auto"/>
        <w:jc w:val="left"/>
      </w:pPr>
      <w:r>
        <w:rPr>
          <w:rFonts w:ascii="David" w:eastAsia="David" w:hAnsi="David" w:cs="David" w:hint="cs"/>
          <w:sz w:val="26"/>
          <w:szCs w:val="26"/>
          <w:rtl/>
        </w:rPr>
        <w:t xml:space="preserve">ח' בשבט התשפ"ג (30.01.2023) </w:t>
      </w:r>
    </w:p>
    <w:p w14:paraId="32E7610E" w14:textId="77777777" w:rsidR="009D6537" w:rsidRDefault="009D6537">
      <w:pPr>
        <w:spacing w:before="0" w:line="276" w:lineRule="auto"/>
        <w:jc w:val="left"/>
      </w:pPr>
    </w:p>
    <w:sectPr w:rsidR="009D653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B4FCC">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A03890B" w14:textId="77777777" w:rsidR="005C04CC" w:rsidRDefault="005C04CC" w:rsidP="005C04CC">
      <w:pPr>
        <w:pStyle w:val="a4"/>
        <w:rPr>
          <w:rtl/>
        </w:rPr>
      </w:pPr>
      <w:r>
        <w:rPr>
          <w:rStyle w:val="a6"/>
        </w:rPr>
        <w:footnoteRef/>
      </w:r>
      <w:r>
        <w:rPr>
          <w:rtl/>
        </w:rPr>
        <w:t xml:space="preserve"> </w:t>
      </w:r>
      <w:r>
        <w:rPr>
          <w:rFonts w:hint="cs"/>
          <w:rtl/>
        </w:rPr>
        <w:t>ס"ח התשנ"ד, עמ' 156.</w:t>
      </w:r>
    </w:p>
  </w:footnote>
  <w:footnote w:id="3">
    <w:p w14:paraId="44AD1122" w14:textId="77777777" w:rsidR="005C04CC" w:rsidRDefault="005C04CC" w:rsidP="005C04CC">
      <w:pPr>
        <w:pStyle w:val="a4"/>
        <w:rPr>
          <w:rtl/>
        </w:rPr>
      </w:pPr>
      <w:r>
        <w:rPr>
          <w:rStyle w:val="a6"/>
        </w:rPr>
        <w:footnoteRef/>
      </w:r>
      <w:r>
        <w:rPr>
          <w:rtl/>
        </w:rPr>
        <w:t xml:space="preserve"> </w:t>
      </w:r>
      <w:r>
        <w:rPr>
          <w:rFonts w:hint="cs"/>
          <w:rtl/>
        </w:rPr>
        <w:t>ס"ח התשנ"א, עמ' 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C04CC"/>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3553"/>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537"/>
    <w:rsid w:val="009D6E0A"/>
    <w:rsid w:val="009E1E33"/>
    <w:rsid w:val="00A0498B"/>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B4FCC"/>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7AFFA3BF-E66D-47D6-969C-2B58CB01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5C04CC"/>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elements/1.1/"/>
    <ds:schemaRef ds:uri="http://schemas.microsoft.com/office/infopath/2007/PartnerControls"/>
    <ds:schemaRef ds:uri="290d5b49-c690-4c6f-bbb9-1e50dab33eee"/>
    <ds:schemaRef ds:uri="http://schemas.microsoft.com/office/2006/metadata/propertie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96CDD38-0C1E-428F-947C-35ED82D66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70C6C-40C6-46CA-B529-5B8B2F2A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375</Words>
  <Characters>2139</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2023-01-25T11:41:00Z</cp:lastPrinted>
  <dcterms:created xsi:type="dcterms:W3CDTF">2015-04-20T09:58:00Z</dcterms:created>
  <dcterms:modified xsi:type="dcterms:W3CDTF">2023-01-25T11:41:00Z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2199995</vt:r8>
  </property>
</Properties>
</file>